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D383" w14:textId="77777777" w:rsidR="00EF64B7" w:rsidRDefault="00EF64B7" w:rsidP="00A25C02">
      <w:pPr>
        <w:jc w:val="center"/>
        <w:rPr>
          <w:rFonts w:asciiTheme="majorHAnsi" w:eastAsia="Times New Roman" w:hAnsiTheme="majorHAnsi" w:cs="Times New Roman"/>
          <w:b/>
          <w:color w:val="660050" w:themeColor="accent1"/>
          <w:sz w:val="28"/>
          <w:szCs w:val="28"/>
          <w:lang w:val="en-GB"/>
        </w:rPr>
      </w:pPr>
    </w:p>
    <w:p w14:paraId="36B64F5A" w14:textId="351C8BE0" w:rsidR="00B86365" w:rsidRPr="00EF64B7" w:rsidRDefault="00CD2843" w:rsidP="00A25C02">
      <w:pPr>
        <w:jc w:val="center"/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</w:pPr>
      <w:r w:rsidRPr="00EF64B7"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  <w:t xml:space="preserve">Audit Tool: </w:t>
      </w:r>
      <w:r w:rsidR="00B86365" w:rsidRPr="00EF64B7"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  <w:t>Local Housing Authority</w:t>
      </w:r>
    </w:p>
    <w:p w14:paraId="23ABA04C" w14:textId="059B8D6D" w:rsidR="00106858" w:rsidRPr="00EF64B7" w:rsidRDefault="00FD4679" w:rsidP="00CD2843">
      <w:pPr>
        <w:spacing w:after="240"/>
        <w:jc w:val="center"/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</w:pPr>
      <w:r w:rsidRPr="00EF64B7"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  <w:t>Scotland</w:t>
      </w:r>
    </w:p>
    <w:p w14:paraId="0568DCCC" w14:textId="659ABF49" w:rsidR="00B86365" w:rsidRPr="00CD2843" w:rsidRDefault="00B86365" w:rsidP="00CD2843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CD2843">
        <w:rPr>
          <w:rFonts w:eastAsia="Times New Roman" w:cstheme="minorHAnsi"/>
          <w:bCs/>
          <w:sz w:val="22"/>
          <w:szCs w:val="22"/>
          <w:lang w:val="en-GB"/>
        </w:rPr>
        <w:t xml:space="preserve">This audit tool is for Local Authorities to complete to understand how well their housing services are meeting the needs of </w:t>
      </w:r>
      <w:r w:rsidR="006E06F6">
        <w:rPr>
          <w:rFonts w:eastAsia="Times New Roman" w:cstheme="minorHAnsi"/>
          <w:bCs/>
          <w:sz w:val="22"/>
          <w:szCs w:val="22"/>
          <w:lang w:val="en-GB"/>
        </w:rPr>
        <w:t>v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>eterans.</w:t>
      </w:r>
    </w:p>
    <w:p w14:paraId="6E4552FF" w14:textId="7CA93406" w:rsidR="00B86365" w:rsidRPr="00CD2843" w:rsidRDefault="00B86365" w:rsidP="00CD2843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CD2843">
        <w:rPr>
          <w:rFonts w:eastAsia="Times New Roman" w:cstheme="minorHAnsi"/>
          <w:bCs/>
          <w:sz w:val="22"/>
          <w:szCs w:val="22"/>
          <w:lang w:val="en-GB"/>
        </w:rPr>
        <w:t xml:space="preserve">The audit tool is split into 4 clear sections linked to the different role a Local Authority has in relation to housing. For </w:t>
      </w:r>
      <w:r w:rsidR="00CD2843" w:rsidRPr="00CD2843">
        <w:rPr>
          <w:rFonts w:eastAsia="Times New Roman" w:cstheme="minorHAnsi"/>
          <w:bCs/>
          <w:sz w:val="22"/>
          <w:szCs w:val="22"/>
          <w:lang w:val="en-GB"/>
        </w:rPr>
        <w:t>non-stock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 xml:space="preserve">-holding Local Authorities not all sections may be relevant, however in their strategic role Local Authorities may wish to work with the relevant registered provider and/or commissioned provider of services to understand how well the housing needs of </w:t>
      </w:r>
      <w:r w:rsidR="002A1E5A">
        <w:rPr>
          <w:rFonts w:eastAsia="Times New Roman" w:cstheme="minorHAnsi"/>
          <w:bCs/>
          <w:sz w:val="22"/>
          <w:szCs w:val="22"/>
          <w:lang w:val="en-GB"/>
        </w:rPr>
        <w:t>v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>eterans are being met</w:t>
      </w:r>
      <w:r w:rsidR="00CD2843">
        <w:rPr>
          <w:rFonts w:eastAsia="Times New Roman" w:cstheme="minorHAnsi"/>
          <w:bCs/>
          <w:sz w:val="22"/>
          <w:szCs w:val="22"/>
          <w:lang w:val="en-GB"/>
        </w:rPr>
        <w:t>.</w:t>
      </w:r>
    </w:p>
    <w:p w14:paraId="3F8EA94B" w14:textId="023DC896" w:rsidR="00B86365" w:rsidRPr="00CD2843" w:rsidRDefault="00B86365" w:rsidP="00CD2843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CD2843">
        <w:rPr>
          <w:rFonts w:eastAsia="Times New Roman" w:cstheme="minorHAnsi"/>
          <w:bCs/>
          <w:sz w:val="22"/>
          <w:szCs w:val="22"/>
          <w:lang w:val="en-GB"/>
        </w:rPr>
        <w:t>The completion of this self-audit tool will provide you with a baseline position</w:t>
      </w:r>
      <w:r w:rsidR="00CC1FE7" w:rsidRPr="00CD2843">
        <w:rPr>
          <w:rFonts w:eastAsia="Times New Roman" w:cstheme="minorHAnsi"/>
          <w:bCs/>
          <w:sz w:val="22"/>
          <w:szCs w:val="22"/>
          <w:lang w:val="en-GB"/>
        </w:rPr>
        <w:t xml:space="preserve">. 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 xml:space="preserve"> </w:t>
      </w:r>
      <w:r w:rsidR="00CC1FE7" w:rsidRPr="00CD2843">
        <w:rPr>
          <w:rFonts w:eastAsia="Times New Roman" w:cstheme="minorHAnsi"/>
          <w:bCs/>
          <w:sz w:val="22"/>
          <w:szCs w:val="22"/>
          <w:lang w:val="en-GB"/>
        </w:rPr>
        <w:t>B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 xml:space="preserve">y using the associated toolkit you will be able to ensure that you have a clear plan on how your services </w:t>
      </w:r>
      <w:r w:rsidR="00CC1FE7" w:rsidRPr="00CD2843">
        <w:rPr>
          <w:rFonts w:eastAsia="Times New Roman" w:cstheme="minorHAnsi"/>
          <w:bCs/>
          <w:sz w:val="22"/>
          <w:szCs w:val="22"/>
          <w:lang w:val="en-GB"/>
        </w:rPr>
        <w:t>can be developed to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 xml:space="preserve"> better meet the housing needs of </w:t>
      </w:r>
      <w:r w:rsidR="002A1E5A">
        <w:rPr>
          <w:rFonts w:eastAsia="Times New Roman" w:cstheme="minorHAnsi"/>
          <w:bCs/>
          <w:sz w:val="22"/>
          <w:szCs w:val="22"/>
          <w:lang w:val="en-GB"/>
        </w:rPr>
        <w:t>v</w:t>
      </w:r>
      <w:r w:rsidRPr="00CD2843">
        <w:rPr>
          <w:rFonts w:eastAsia="Times New Roman" w:cstheme="minorHAnsi"/>
          <w:bCs/>
          <w:sz w:val="22"/>
          <w:szCs w:val="22"/>
          <w:lang w:val="en-GB"/>
        </w:rPr>
        <w:t>eterans.</w:t>
      </w:r>
    </w:p>
    <w:tbl>
      <w:tblPr>
        <w:tblStyle w:val="TableGrid"/>
        <w:tblW w:w="0" w:type="auto"/>
        <w:shd w:val="clear" w:color="auto" w:fill="FFFFFF" w:themeFill="accent6" w:themeFillTint="99"/>
        <w:tblLook w:val="04A0" w:firstRow="1" w:lastRow="0" w:firstColumn="1" w:lastColumn="0" w:noHBand="0" w:noVBand="1"/>
      </w:tblPr>
      <w:tblGrid>
        <w:gridCol w:w="6374"/>
        <w:gridCol w:w="1916"/>
      </w:tblGrid>
      <w:tr w:rsidR="00EF64B7" w:rsidRPr="00EF64B7" w14:paraId="68323BB2" w14:textId="77777777" w:rsidTr="00EF64B7">
        <w:tc>
          <w:tcPr>
            <w:tcW w:w="8290" w:type="dxa"/>
            <w:gridSpan w:val="2"/>
            <w:shd w:val="clear" w:color="auto" w:fill="EC671B"/>
            <w:vAlign w:val="center"/>
          </w:tcPr>
          <w:p w14:paraId="51B3578A" w14:textId="79AE4CE8" w:rsidR="00B86365" w:rsidRPr="00EF64B7" w:rsidRDefault="00B86365" w:rsidP="0091280A">
            <w:pPr>
              <w:jc w:val="center"/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</w:pPr>
            <w:r w:rsidRPr="00EF64B7"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  <w:t>Strategic Approach</w:t>
            </w:r>
          </w:p>
        </w:tc>
      </w:tr>
      <w:tr w:rsidR="004E5541" w14:paraId="37AAF695" w14:textId="77777777" w:rsidTr="00EF64B7">
        <w:tblPrEx>
          <w:shd w:val="clear" w:color="auto" w:fill="FFFFFF" w:themeFill="accent6" w:themeFillTint="66"/>
        </w:tblPrEx>
        <w:tc>
          <w:tcPr>
            <w:tcW w:w="6374" w:type="dxa"/>
            <w:shd w:val="clear" w:color="auto" w:fill="D5DBD8"/>
            <w:vAlign w:val="center"/>
          </w:tcPr>
          <w:p w14:paraId="772F1F30" w14:textId="77777777" w:rsidR="004E5541" w:rsidRPr="0091280A" w:rsidRDefault="004E5541" w:rsidP="0091280A">
            <w:pPr>
              <w:rPr>
                <w:rFonts w:ascii="Poppins" w:eastAsia="Times New Roman" w:hAnsi="Poppins" w:cs="Poppins"/>
                <w:b/>
                <w:bCs/>
                <w:lang w:val="en-GB"/>
              </w:rPr>
            </w:pPr>
            <w:r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Armed Forces Covenant</w:t>
            </w:r>
          </w:p>
        </w:tc>
        <w:tc>
          <w:tcPr>
            <w:tcW w:w="1916" w:type="dxa"/>
            <w:shd w:val="clear" w:color="auto" w:fill="D5DBD8"/>
            <w:vAlign w:val="center"/>
          </w:tcPr>
          <w:p w14:paraId="6812E368" w14:textId="270CAA5B" w:rsidR="004E5541" w:rsidRPr="0091280A" w:rsidRDefault="004E5541" w:rsidP="0091280A">
            <w:pPr>
              <w:jc w:val="center"/>
              <w:rPr>
                <w:rFonts w:ascii="Poppins" w:eastAsia="Times New Roman" w:hAnsi="Poppins" w:cs="Poppins"/>
                <w:b/>
                <w:bCs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>See</w:t>
            </w:r>
            <w:r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1280A"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</w:t>
            </w:r>
            <w:r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 xml:space="preserve">ection </w:t>
            </w:r>
            <w:r w:rsidR="00B76042"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4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91280A" w14:paraId="7A68F42C" w14:textId="0998988F" w:rsidTr="00724E4F">
        <w:tblPrEx>
          <w:shd w:val="clear" w:color="auto" w:fill="auto"/>
        </w:tblPrEx>
        <w:tc>
          <w:tcPr>
            <w:tcW w:w="8290" w:type="dxa"/>
            <w:gridSpan w:val="2"/>
            <w:shd w:val="clear" w:color="auto" w:fill="FFFFFF" w:themeFill="accent6" w:themeFillTint="33"/>
          </w:tcPr>
          <w:p w14:paraId="0484655C" w14:textId="77777777" w:rsidR="0091280A" w:rsidRPr="0091280A" w:rsidRDefault="0091280A" w:rsidP="005527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Is the Armed Forces Covenant in place? </w:t>
            </w:r>
          </w:p>
          <w:p w14:paraId="663138AF" w14:textId="77777777" w:rsidR="0091280A" w:rsidRPr="0091280A" w:rsidRDefault="0091280A" w:rsidP="005527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Has this been signed?  </w:t>
            </w:r>
          </w:p>
          <w:p w14:paraId="09588F9B" w14:textId="77777777" w:rsidR="0091280A" w:rsidRPr="0091280A" w:rsidRDefault="0091280A" w:rsidP="005527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Does it reference anything about housing?  </w:t>
            </w:r>
          </w:p>
          <w:p w14:paraId="2589F4B8" w14:textId="77777777" w:rsidR="0091280A" w:rsidRPr="0091280A" w:rsidRDefault="0091280A" w:rsidP="005527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How clear are those housing statements/pledges?</w:t>
            </w:r>
          </w:p>
          <w:p w14:paraId="387DEE4B" w14:textId="77777777" w:rsidR="0091280A" w:rsidRPr="0091280A" w:rsidRDefault="0091280A" w:rsidP="005527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Are there mechanisms to review it?  </w:t>
            </w:r>
          </w:p>
          <w:p w14:paraId="3510739B" w14:textId="77777777" w:rsidR="0091280A" w:rsidRPr="0091280A" w:rsidRDefault="0091280A" w:rsidP="00CC1FE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Are housing staff aware of it?</w:t>
            </w:r>
          </w:p>
          <w:p w14:paraId="3E216E55" w14:textId="7BC44ED0" w:rsidR="0091280A" w:rsidRPr="0091280A" w:rsidRDefault="0091280A" w:rsidP="0091280A">
            <w:pPr>
              <w:numPr>
                <w:ilvl w:val="0"/>
                <w:numId w:val="1"/>
              </w:num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  <w:r w:rsidRPr="0091280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Is there an Armed Forces Champion?</w:t>
            </w:r>
          </w:p>
        </w:tc>
      </w:tr>
      <w:tr w:rsidR="0091280A" w14:paraId="7812DAB0" w14:textId="23927831" w:rsidTr="00E90E67">
        <w:tblPrEx>
          <w:shd w:val="clear" w:color="auto" w:fill="auto"/>
        </w:tblPrEx>
        <w:tc>
          <w:tcPr>
            <w:tcW w:w="8290" w:type="dxa"/>
            <w:gridSpan w:val="2"/>
          </w:tcPr>
          <w:p w14:paraId="2CD560EE" w14:textId="77777777" w:rsidR="0091280A" w:rsidRDefault="0091280A" w:rsidP="003877E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</w:p>
          <w:p w14:paraId="4519A3F3" w14:textId="77777777" w:rsidR="0091280A" w:rsidRDefault="0091280A" w:rsidP="0091280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</w:p>
        </w:tc>
      </w:tr>
      <w:tr w:rsidR="00CC1FE7" w14:paraId="23EF2765" w14:textId="36DA9BE5" w:rsidTr="00EF64B7">
        <w:tblPrEx>
          <w:shd w:val="clear" w:color="auto" w:fill="auto"/>
        </w:tblPrEx>
        <w:tc>
          <w:tcPr>
            <w:tcW w:w="6374" w:type="dxa"/>
            <w:shd w:val="clear" w:color="auto" w:fill="D5DBD8"/>
            <w:vAlign w:val="center"/>
          </w:tcPr>
          <w:p w14:paraId="267CFC7E" w14:textId="5C3BA05F" w:rsidR="00CC1FE7" w:rsidRPr="0091280A" w:rsidRDefault="00CC1FE7" w:rsidP="0091280A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</w:rPr>
            </w:pPr>
            <w:r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</w:rPr>
              <w:t>Strategy</w:t>
            </w:r>
            <w:r w:rsidR="00106858">
              <w:rPr>
                <w:rFonts w:ascii="Poppins" w:eastAsia="Times New Roman" w:hAnsi="Poppins" w:cs="Poppins"/>
                <w:b/>
                <w:bCs/>
                <w:sz w:val="22"/>
                <w:szCs w:val="22"/>
              </w:rPr>
              <w:t xml:space="preserve"> Approach</w:t>
            </w:r>
          </w:p>
        </w:tc>
        <w:tc>
          <w:tcPr>
            <w:tcW w:w="1916" w:type="dxa"/>
            <w:shd w:val="clear" w:color="auto" w:fill="D5DBD8"/>
            <w:vAlign w:val="center"/>
          </w:tcPr>
          <w:p w14:paraId="7B9B6B91" w14:textId="16E355A5" w:rsidR="00CC1FE7" w:rsidRPr="0091280A" w:rsidRDefault="004E5541" w:rsidP="0091280A">
            <w:pPr>
              <w:spacing w:before="100" w:beforeAutospacing="1" w:after="100" w:afterAutospacing="1"/>
              <w:ind w:left="-80" w:hanging="26"/>
              <w:jc w:val="center"/>
              <w:rPr>
                <w:rFonts w:ascii="Poppins" w:eastAsia="Times New Roman" w:hAnsi="Poppins" w:cs="Poppins"/>
                <w:b/>
                <w:bCs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="0091280A"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</w:t>
            </w:r>
            <w:r w:rsidRPr="0091280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ection 5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3877E7" w14:paraId="16E1CDF1" w14:textId="147A8F8A" w:rsidTr="003877E7">
        <w:tblPrEx>
          <w:shd w:val="clear" w:color="auto" w:fill="auto"/>
        </w:tblPrEx>
        <w:tc>
          <w:tcPr>
            <w:tcW w:w="8290" w:type="dxa"/>
            <w:gridSpan w:val="2"/>
            <w:shd w:val="clear" w:color="auto" w:fill="FFFFFF" w:themeFill="accent6" w:themeFillTint="33"/>
            <w:vAlign w:val="center"/>
          </w:tcPr>
          <w:p w14:paraId="71837D8C" w14:textId="77777777" w:rsidR="003877E7" w:rsidRDefault="003877E7" w:rsidP="003877E7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3877E7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What does the </w:t>
            </w:r>
            <w:r w:rsidR="00FD4679">
              <w:rPr>
                <w:rFonts w:eastAsia="Times New Roman" w:cstheme="minorHAnsi"/>
                <w:b/>
                <w:bCs/>
                <w:sz w:val="22"/>
                <w:szCs w:val="22"/>
              </w:rPr>
              <w:t>Local Housing Strategy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identify in relation to </w:t>
            </w:r>
            <w:r w:rsidR="002A1E5A"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eterans and their families? Are </w:t>
            </w:r>
            <w:r w:rsidR="002A1E5A"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</w:rPr>
              <w:t>eterans mentioned?</w:t>
            </w:r>
          </w:p>
          <w:p w14:paraId="3CE17055" w14:textId="6739D102" w:rsidR="00FD4679" w:rsidRPr="00FD4679" w:rsidRDefault="00FD4679" w:rsidP="003877E7">
            <w:pPr>
              <w:spacing w:before="100" w:beforeAutospacing="1"/>
              <w:rPr>
                <w:rFonts w:ascii="Poppins" w:eastAsia="Times New Roman" w:hAnsi="Poppins" w:cs="Poppins"/>
                <w:b/>
                <w:bCs/>
                <w:sz w:val="22"/>
                <w:szCs w:val="22"/>
              </w:rPr>
            </w:pPr>
            <w:r w:rsidRPr="00FD4679">
              <w:rPr>
                <w:rFonts w:ascii="Poppins" w:eastAsia="Times New Roman" w:hAnsi="Poppins" w:cs="Poppins"/>
                <w:b/>
                <w:bCs/>
                <w:sz w:val="22"/>
                <w:szCs w:val="22"/>
              </w:rPr>
              <w:t>Are there any specific actions in relation to veterans?</w:t>
            </w:r>
          </w:p>
        </w:tc>
      </w:tr>
      <w:tr w:rsidR="003877E7" w14:paraId="0DBEED4B" w14:textId="2F9F467F" w:rsidTr="0031352F">
        <w:tblPrEx>
          <w:shd w:val="clear" w:color="auto" w:fill="auto"/>
        </w:tblPrEx>
        <w:tc>
          <w:tcPr>
            <w:tcW w:w="8290" w:type="dxa"/>
            <w:gridSpan w:val="2"/>
            <w:shd w:val="clear" w:color="auto" w:fill="auto"/>
          </w:tcPr>
          <w:p w14:paraId="7929C46E" w14:textId="77777777" w:rsidR="003877E7" w:rsidRDefault="003877E7" w:rsidP="003877E7">
            <w:pPr>
              <w:spacing w:before="100" w:beforeAutospacing="1"/>
              <w:rPr>
                <w:rFonts w:ascii="Poppins" w:eastAsia="Times New Roman" w:hAnsi="Poppins" w:cs="Poppins"/>
              </w:rPr>
            </w:pPr>
          </w:p>
          <w:p w14:paraId="0C6032E8" w14:textId="53F1AA94" w:rsidR="003877E7" w:rsidRPr="003877E7" w:rsidRDefault="003877E7" w:rsidP="003877E7">
            <w:pPr>
              <w:spacing w:before="100" w:beforeAutospacing="1"/>
              <w:rPr>
                <w:rFonts w:ascii="Poppins" w:eastAsia="Times New Roman" w:hAnsi="Poppins" w:cs="Poppins"/>
              </w:rPr>
            </w:pPr>
          </w:p>
        </w:tc>
      </w:tr>
    </w:tbl>
    <w:p w14:paraId="5621F05D" w14:textId="77777777" w:rsidR="003877E7" w:rsidRDefault="003877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916"/>
      </w:tblGrid>
      <w:tr w:rsidR="003877E7" w14:paraId="14CE9F33" w14:textId="618DADAB" w:rsidTr="00FC60F3">
        <w:tc>
          <w:tcPr>
            <w:tcW w:w="8290" w:type="dxa"/>
            <w:gridSpan w:val="2"/>
            <w:shd w:val="clear" w:color="auto" w:fill="FFFFFF" w:themeFill="accent6" w:themeFillTint="33"/>
          </w:tcPr>
          <w:p w14:paraId="134C6C97" w14:textId="0DFD81E7" w:rsidR="003877E7" w:rsidRPr="0091280A" w:rsidRDefault="003877E7" w:rsidP="003877E7">
            <w:pPr>
              <w:spacing w:before="100" w:beforeAutospacing="1"/>
              <w:rPr>
                <w:rFonts w:ascii="Poppins" w:eastAsia="Calibri" w:hAnsi="Poppins" w:cs="Poppins"/>
                <w:sz w:val="22"/>
                <w:szCs w:val="22"/>
              </w:rPr>
            </w:pPr>
            <w:r w:rsidRPr="003877E7">
              <w:rPr>
                <w:rFonts w:eastAsia="Calibri" w:cstheme="minorHAnsi"/>
                <w:b/>
                <w:bCs/>
                <w:sz w:val="22"/>
                <w:szCs w:val="22"/>
              </w:rPr>
              <w:lastRenderedPageBreak/>
              <w:t>Has the Local Authority worked closely with relevant partners (e.g.</w:t>
            </w:r>
            <w:r>
              <w:rPr>
                <w:rFonts w:eastAsia="Calibri" w:cstheme="minorHAnsi"/>
                <w:b/>
                <w:bCs/>
                <w:sz w:val="22"/>
                <w:szCs w:val="22"/>
              </w:rPr>
              <w:t>,</w:t>
            </w:r>
            <w:r w:rsidRPr="003877E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="00B7382A">
              <w:rPr>
                <w:rFonts w:eastAsia="Calibri" w:cstheme="minorHAnsi"/>
                <w:b/>
                <w:bCs/>
                <w:sz w:val="22"/>
                <w:szCs w:val="22"/>
              </w:rPr>
              <w:t>v</w:t>
            </w:r>
            <w:r w:rsidRPr="003877E7">
              <w:rPr>
                <w:rFonts w:eastAsia="Calibri" w:cstheme="minorHAnsi"/>
                <w:b/>
                <w:bCs/>
                <w:sz w:val="22"/>
                <w:szCs w:val="22"/>
              </w:rPr>
              <w:t>eterans</w:t>
            </w:r>
            <w:r w:rsidR="00B7382A">
              <w:rPr>
                <w:rFonts w:eastAsia="Calibri" w:cstheme="minorHAnsi"/>
                <w:b/>
                <w:bCs/>
                <w:sz w:val="22"/>
                <w:szCs w:val="22"/>
              </w:rPr>
              <w:t>’</w:t>
            </w:r>
            <w:r w:rsidRPr="003877E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charities/Brigade</w:t>
            </w:r>
            <w:r w:rsidR="00B7382A">
              <w:rPr>
                <w:rFonts w:eastAsia="Calibri" w:cstheme="minorHAnsi"/>
                <w:b/>
                <w:bCs/>
                <w:sz w:val="22"/>
                <w:szCs w:val="22"/>
              </w:rPr>
              <w:t>s</w:t>
            </w:r>
            <w:r w:rsidR="002740E2">
              <w:rPr>
                <w:rFonts w:eastAsia="Calibri" w:cstheme="minorHAnsi"/>
                <w:b/>
                <w:bCs/>
                <w:sz w:val="22"/>
                <w:szCs w:val="22"/>
              </w:rPr>
              <w:t>, housing associations</w:t>
            </w:r>
            <w:r w:rsidRPr="003877E7">
              <w:rPr>
                <w:rFonts w:eastAsia="Calibri" w:cstheme="minorHAnsi"/>
                <w:b/>
                <w:bCs/>
                <w:sz w:val="22"/>
                <w:szCs w:val="22"/>
              </w:rPr>
              <w:t>) to ascertain likely levels of need among veterans and designed services accordingly?</w:t>
            </w:r>
          </w:p>
        </w:tc>
      </w:tr>
      <w:tr w:rsidR="003877E7" w14:paraId="58C1D68D" w14:textId="75EE8CCE" w:rsidTr="00B0069F">
        <w:tc>
          <w:tcPr>
            <w:tcW w:w="8290" w:type="dxa"/>
            <w:gridSpan w:val="2"/>
          </w:tcPr>
          <w:p w14:paraId="3F31434A" w14:textId="77777777" w:rsidR="003877E7" w:rsidRPr="003877E7" w:rsidRDefault="003877E7" w:rsidP="003877E7">
            <w:pPr>
              <w:spacing w:before="100" w:beforeAutospacing="1"/>
              <w:rPr>
                <w:rFonts w:asciiTheme="majorHAnsi" w:eastAsia="Times New Roman" w:hAnsiTheme="majorHAnsi" w:cs="Times New Roman"/>
              </w:rPr>
            </w:pPr>
          </w:p>
          <w:p w14:paraId="5B9CC4A1" w14:textId="77777777" w:rsidR="003877E7" w:rsidRPr="003877E7" w:rsidRDefault="003877E7" w:rsidP="003877E7">
            <w:pPr>
              <w:spacing w:before="100" w:beforeAutospacing="1"/>
              <w:rPr>
                <w:rFonts w:ascii="Poppins" w:eastAsia="Times New Roman" w:hAnsi="Poppins" w:cs="Poppins"/>
              </w:rPr>
            </w:pPr>
          </w:p>
        </w:tc>
      </w:tr>
      <w:tr w:rsidR="00EF64B7" w:rsidRPr="00EF64B7" w14:paraId="3498C4C0" w14:textId="77777777" w:rsidTr="00EF64B7">
        <w:tblPrEx>
          <w:shd w:val="clear" w:color="auto" w:fill="FFFFFF" w:themeFill="accent6" w:themeFillTint="99"/>
        </w:tblPrEx>
        <w:tc>
          <w:tcPr>
            <w:tcW w:w="8290" w:type="dxa"/>
            <w:gridSpan w:val="2"/>
            <w:shd w:val="clear" w:color="auto" w:fill="EC671B"/>
            <w:vAlign w:val="center"/>
          </w:tcPr>
          <w:p w14:paraId="49E0152A" w14:textId="41F8E4D9" w:rsidR="00B86365" w:rsidRPr="00EF64B7" w:rsidRDefault="00B86365" w:rsidP="003877E7">
            <w:pPr>
              <w:spacing w:before="100" w:beforeAutospacing="1"/>
              <w:jc w:val="center"/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</w:pPr>
            <w:r w:rsidRPr="00EF64B7"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  <w:t>Housing Options, Prevention &amp; Homelessness</w:t>
            </w:r>
          </w:p>
        </w:tc>
      </w:tr>
      <w:tr w:rsidR="00FD4679" w14:paraId="7BC9E18E" w14:textId="28BDA4AC" w:rsidTr="00892955">
        <w:trPr>
          <w:trHeight w:val="4417"/>
        </w:trPr>
        <w:tc>
          <w:tcPr>
            <w:tcW w:w="6374" w:type="dxa"/>
            <w:shd w:val="clear" w:color="auto" w:fill="FFFFFF" w:themeFill="accent6" w:themeFillTint="33"/>
          </w:tcPr>
          <w:p w14:paraId="6F29FE70" w14:textId="13A39F87" w:rsidR="00FD4679" w:rsidRPr="003877E7" w:rsidRDefault="00FD4679" w:rsidP="0091280A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How are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 and their families identified?</w:t>
            </w:r>
          </w:p>
          <w:p w14:paraId="401B33D3" w14:textId="200669E9" w:rsidR="00FD4679" w:rsidRPr="003877E7" w:rsidRDefault="00FD4679" w:rsidP="0091280A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you ask 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u w:val="single"/>
                <w:lang w:val="en-GB"/>
              </w:rPr>
              <w:t>all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customers if they or a family member are a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eteran?</w:t>
            </w:r>
          </w:p>
          <w:p w14:paraId="251E2CB6" w14:textId="16D15166" w:rsidR="00FD4679" w:rsidRPr="003877E7" w:rsidRDefault="00FD4679" w:rsidP="0091280A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Does the form identify whether any member of the household is a an (ex)partner/widow(er) of a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eteran?</w:t>
            </w:r>
          </w:p>
          <w:p w14:paraId="10106F80" w14:textId="77777777" w:rsidR="00FD4679" w:rsidRPr="005B57F0" w:rsidRDefault="00FD4679" w:rsidP="0091280A">
            <w:pPr>
              <w:numPr>
                <w:ilvl w:val="0"/>
                <w:numId w:val="2"/>
              </w:num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you ask if the customer or a member of the household is a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R</w:t>
            </w:r>
            <w:r w:rsidRPr="003877E7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eservist?</w:t>
            </w:r>
          </w:p>
          <w:p w14:paraId="61923F50" w14:textId="77777777" w:rsidR="00FD4679" w:rsidRDefault="00FD4679" w:rsidP="0091280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4293DAA5" w14:textId="77777777" w:rsidR="00FD4679" w:rsidRDefault="00FD4679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2718C1A7" w14:textId="75CF6F3D" w:rsidR="00FD4679" w:rsidRPr="005B57F0" w:rsidRDefault="00FD4679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shd w:val="clear" w:color="auto" w:fill="FFFFFF" w:themeFill="accent6" w:themeFillTint="33"/>
            <w:vAlign w:val="center"/>
          </w:tcPr>
          <w:p w14:paraId="0E63160E" w14:textId="72A84E36" w:rsidR="00FD4679" w:rsidRPr="0091280A" w:rsidRDefault="00FD4679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3877E7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3501DE" w14:paraId="33AB48FD" w14:textId="2E8F0CFC" w:rsidTr="0091280A">
        <w:tc>
          <w:tcPr>
            <w:tcW w:w="6374" w:type="dxa"/>
            <w:shd w:val="clear" w:color="auto" w:fill="FFFFFF" w:themeFill="accent6" w:themeFillTint="33"/>
          </w:tcPr>
          <w:p w14:paraId="362B3C0B" w14:textId="6E22381D" w:rsidR="003501DE" w:rsidRPr="003501DE" w:rsidRDefault="00FD4679" w:rsidP="003501DE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Have you developed any </w:t>
            </w:r>
            <w:r w:rsidR="003501DE"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PHPs for veterans and their families?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40F1F411" w14:textId="6154FD89" w:rsidR="003501DE" w:rsidRPr="0091280A" w:rsidRDefault="003501DE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3501D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8.1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3501DE" w14:paraId="34905A63" w14:textId="1D2D05D2" w:rsidTr="0091280A">
        <w:tc>
          <w:tcPr>
            <w:tcW w:w="6374" w:type="dxa"/>
          </w:tcPr>
          <w:p w14:paraId="4D1BE754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37D2FF13" w14:textId="77777777" w:rsidR="003501DE" w:rsidRPr="002C0AD9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6345145E" w14:textId="77777777" w:rsidR="003501DE" w:rsidRPr="0091280A" w:rsidRDefault="003501DE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4735CAB7" w14:textId="77777777" w:rsidR="003501DE" w:rsidRDefault="003501D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916"/>
      </w:tblGrid>
      <w:tr w:rsidR="003501DE" w14:paraId="0E44CA47" w14:textId="6C2B3423" w:rsidTr="003501DE">
        <w:tc>
          <w:tcPr>
            <w:tcW w:w="6374" w:type="dxa"/>
            <w:shd w:val="clear" w:color="auto" w:fill="FFFFFF" w:themeFill="accent6" w:themeFillTint="33"/>
            <w:vAlign w:val="center"/>
          </w:tcPr>
          <w:p w14:paraId="20E863AE" w14:textId="7DBAF689" w:rsidR="003501DE" w:rsidRPr="003501DE" w:rsidRDefault="003501DE" w:rsidP="003501DE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Are there any bespoke factsheets/leaflets for </w:t>
            </w:r>
            <w:r w:rsidR="00093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07C0253" w14:textId="6B1595EA" w:rsidR="003501DE" w:rsidRPr="0091280A" w:rsidRDefault="003501DE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3501D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6.2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3501DE" w14:paraId="56525F03" w14:textId="4071FB4D" w:rsidTr="0091280A">
        <w:tc>
          <w:tcPr>
            <w:tcW w:w="6374" w:type="dxa"/>
          </w:tcPr>
          <w:p w14:paraId="0010C4E3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13DB121B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6FC287F2" w14:textId="77777777" w:rsidR="003501DE" w:rsidRPr="0091280A" w:rsidRDefault="003501DE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3501DE" w14:paraId="62C5F07B" w14:textId="14E639FD" w:rsidTr="0091280A">
        <w:tc>
          <w:tcPr>
            <w:tcW w:w="6374" w:type="dxa"/>
            <w:shd w:val="clear" w:color="auto" w:fill="FFFFFF" w:themeFill="accent6" w:themeFillTint="33"/>
          </w:tcPr>
          <w:p w14:paraId="3113E1B0" w14:textId="4EBE693B" w:rsidR="003501DE" w:rsidRPr="003501DE" w:rsidRDefault="003501DE" w:rsidP="003501DE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What information is available on the website for </w:t>
            </w:r>
            <w:r w:rsidR="00093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 in relation to housing options and homelessness?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F4B681D" w14:textId="78333645" w:rsidR="003501DE" w:rsidRPr="0091280A" w:rsidRDefault="003501DE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3501D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6.2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3501DE" w14:paraId="21D62D2B" w14:textId="6AE60C21" w:rsidTr="0091280A">
        <w:tc>
          <w:tcPr>
            <w:tcW w:w="6374" w:type="dxa"/>
          </w:tcPr>
          <w:p w14:paraId="5EA78CD4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11D13475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166C47E6" w14:textId="77777777" w:rsidR="003501DE" w:rsidRPr="0091280A" w:rsidRDefault="003501DE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3501DE" w14:paraId="103DC4B5" w14:textId="530F0A69" w:rsidTr="0091280A">
        <w:tc>
          <w:tcPr>
            <w:tcW w:w="6374" w:type="dxa"/>
            <w:shd w:val="clear" w:color="auto" w:fill="FFFFFF" w:themeFill="accent6" w:themeFillTint="33"/>
          </w:tcPr>
          <w:p w14:paraId="308F9B18" w14:textId="27EC0F49" w:rsidR="003501DE" w:rsidRPr="003501DE" w:rsidRDefault="003501DE" w:rsidP="003501DE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What local services/charities are available to support </w:t>
            </w:r>
            <w:r w:rsidR="00093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eterans? How well does the Local Authority work with these organisations? Do staff know about them? How well do</w:t>
            </w:r>
            <w:r w:rsidR="002740E2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es your organisation</w:t>
            </w: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work in partnership</w:t>
            </w:r>
            <w:r w:rsidR="002740E2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with them</w:t>
            </w:r>
            <w:r w:rsidRPr="003501D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030F3F68" w14:textId="179C115B" w:rsidR="003501DE" w:rsidRPr="0091280A" w:rsidRDefault="003501DE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3501D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6.2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3501DE" w14:paraId="33633318" w14:textId="7B00236A" w:rsidTr="0091280A">
        <w:tc>
          <w:tcPr>
            <w:tcW w:w="6374" w:type="dxa"/>
          </w:tcPr>
          <w:p w14:paraId="2CB01731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2DFBE3E9" w14:textId="77777777" w:rsidR="003501DE" w:rsidRDefault="003501DE" w:rsidP="003501DE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4F5B80E9" w14:textId="77777777" w:rsidR="003501DE" w:rsidRPr="0091280A" w:rsidRDefault="003501DE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F02DD" w14:paraId="2776A728" w14:textId="77777777" w:rsidTr="0091280A">
        <w:tc>
          <w:tcPr>
            <w:tcW w:w="6374" w:type="dxa"/>
            <w:shd w:val="clear" w:color="auto" w:fill="FFFFFF" w:themeFill="accent6" w:themeFillTint="33"/>
          </w:tcPr>
          <w:p w14:paraId="4701F561" w14:textId="77777777" w:rsidR="00BF02DD" w:rsidRPr="003501DE" w:rsidRDefault="00BF02DD" w:rsidP="0091280A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eastAsia="Times New Roman" w:cstheme="minorHAnsi"/>
                <w:b/>
                <w:bCs/>
              </w:rPr>
            </w:pPr>
            <w:r w:rsidRPr="003501DE">
              <w:rPr>
                <w:rFonts w:eastAsia="Times New Roman" w:cstheme="minorHAnsi"/>
                <w:b/>
                <w:bCs/>
              </w:rPr>
              <w:t>Does the service work with Service personnel from the point that they receive their certificate of cessation of entitlement to occupy service accommodation 6 months before discharge?</w:t>
            </w:r>
          </w:p>
          <w:p w14:paraId="312F6222" w14:textId="396DF9B0" w:rsidR="00BF02DD" w:rsidRPr="003501DE" w:rsidRDefault="00BF02DD" w:rsidP="0091280A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eastAsia="Times New Roman" w:cstheme="minorHAnsi"/>
                <w:b/>
                <w:bCs/>
              </w:rPr>
            </w:pPr>
            <w:r w:rsidRPr="003501DE">
              <w:rPr>
                <w:rFonts w:eastAsia="Times New Roman" w:cstheme="minorHAnsi"/>
                <w:b/>
                <w:bCs/>
              </w:rPr>
              <w:t>Is this 6-month period used to help clients find accommodation? Or are clients only worked with 56 days prior to homelessness?</w:t>
            </w:r>
          </w:p>
          <w:p w14:paraId="01D47F4F" w14:textId="77777777" w:rsidR="00BF02DD" w:rsidRPr="004301CA" w:rsidRDefault="00BF02DD" w:rsidP="0091280A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asciiTheme="majorHAnsi" w:eastAsia="Times New Roman" w:hAnsiTheme="majorHAnsi" w:cs="Times New Roman"/>
              </w:rPr>
            </w:pPr>
            <w:r w:rsidRPr="003501DE">
              <w:rPr>
                <w:rFonts w:eastAsia="Times New Roman" w:cstheme="minorHAnsi"/>
                <w:b/>
                <w:bCs/>
              </w:rPr>
              <w:t>Do the procedures reflect this?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0249BB7" w14:textId="7EDB9FD5" w:rsidR="00BF02DD" w:rsidRPr="0091280A" w:rsidRDefault="00BF02DD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F02DD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7.1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F02DD" w14:paraId="2F03EDB8" w14:textId="151B1F5E" w:rsidTr="0091280A">
        <w:tc>
          <w:tcPr>
            <w:tcW w:w="6374" w:type="dxa"/>
          </w:tcPr>
          <w:p w14:paraId="7BBA498E" w14:textId="77777777" w:rsidR="00BF02DD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34A4BD6E" w14:textId="77777777" w:rsidR="00BF02DD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4C8F0DAC" w14:textId="77777777" w:rsidR="00BF02DD" w:rsidRPr="0091280A" w:rsidRDefault="00BF02DD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F02DD" w:rsidRPr="004301CA" w14:paraId="7A3FA1A4" w14:textId="7567CDD1" w:rsidTr="0091280A">
        <w:tc>
          <w:tcPr>
            <w:tcW w:w="6374" w:type="dxa"/>
            <w:shd w:val="clear" w:color="auto" w:fill="FFFFFF" w:themeFill="accent6" w:themeFillTint="33"/>
          </w:tcPr>
          <w:p w14:paraId="44285A61" w14:textId="1480C1B3" w:rsidR="00BF02DD" w:rsidRPr="00BF02DD" w:rsidRDefault="00BF02DD" w:rsidP="0091280A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eastAsia="Times New Roman" w:cstheme="minorHAnsi"/>
                <w:b/>
                <w:bCs/>
              </w:rPr>
            </w:pPr>
            <w:r w:rsidRPr="00BF02DD">
              <w:rPr>
                <w:rFonts w:eastAsia="Times New Roman" w:cstheme="minorHAnsi"/>
                <w:b/>
                <w:bCs/>
              </w:rPr>
              <w:t xml:space="preserve">Are staff aware where </w:t>
            </w:r>
            <w:r>
              <w:rPr>
                <w:rFonts w:eastAsia="Times New Roman" w:cstheme="minorHAnsi"/>
                <w:b/>
                <w:bCs/>
              </w:rPr>
              <w:t>S</w:t>
            </w:r>
            <w:r w:rsidRPr="00BF02DD">
              <w:rPr>
                <w:rFonts w:eastAsia="Times New Roman" w:cstheme="minorHAnsi"/>
                <w:b/>
                <w:bCs/>
              </w:rPr>
              <w:t xml:space="preserve">ervice personnel are required to vacate </w:t>
            </w:r>
            <w:r w:rsidR="000051B7">
              <w:rPr>
                <w:rFonts w:eastAsia="Times New Roman" w:cstheme="minorHAnsi"/>
                <w:b/>
                <w:bCs/>
              </w:rPr>
              <w:t>S</w:t>
            </w:r>
            <w:r w:rsidRPr="00BF02DD">
              <w:rPr>
                <w:rFonts w:eastAsia="Times New Roman" w:cstheme="minorHAnsi"/>
                <w:b/>
                <w:bCs/>
              </w:rPr>
              <w:t xml:space="preserve">ervice quarters as a result of leaving the </w:t>
            </w:r>
            <w:r w:rsidR="000051B7">
              <w:rPr>
                <w:rFonts w:eastAsia="Times New Roman" w:cstheme="minorHAnsi"/>
                <w:b/>
                <w:bCs/>
              </w:rPr>
              <w:t>S</w:t>
            </w:r>
            <w:r w:rsidRPr="00BF02DD">
              <w:rPr>
                <w:rFonts w:eastAsia="Times New Roman" w:cstheme="minorHAnsi"/>
                <w:b/>
                <w:bCs/>
              </w:rPr>
              <w:t xml:space="preserve">ervice they should not be considered to be intentionally homeless? </w:t>
            </w:r>
          </w:p>
          <w:p w14:paraId="5B201E84" w14:textId="77777777" w:rsidR="00BF02DD" w:rsidRPr="004301CA" w:rsidRDefault="00BF02DD" w:rsidP="0091280A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2DD">
              <w:rPr>
                <w:rFonts w:eastAsia="Times New Roman" w:cstheme="minorHAnsi"/>
                <w:b/>
                <w:bCs/>
              </w:rPr>
              <w:t>Is this referenced in any local policies/procedures?</w:t>
            </w:r>
            <w:r w:rsidRPr="00BF02DD">
              <w:rPr>
                <w:rFonts w:asciiTheme="majorHAnsi" w:eastAsia="Times New Roman" w:hAnsiTheme="majorHAnsi" w:cs="Times New Roman"/>
              </w:rPr>
              <w:t xml:space="preserve">  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A4FC609" w14:textId="73446176" w:rsidR="00BF02DD" w:rsidRPr="0091280A" w:rsidRDefault="00BF02DD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>See</w:t>
            </w:r>
            <w:r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</w:t>
            </w:r>
            <w:r w:rsidRPr="00BF02DD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8.2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F02DD" w14:paraId="41C0607E" w14:textId="516D0B87" w:rsidTr="0091280A">
        <w:tc>
          <w:tcPr>
            <w:tcW w:w="6374" w:type="dxa"/>
          </w:tcPr>
          <w:p w14:paraId="7628FBCC" w14:textId="77777777" w:rsidR="00BF02DD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3DAD7077" w14:textId="77777777" w:rsidR="00BF02DD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5F602617" w14:textId="77777777" w:rsidR="00BF02DD" w:rsidRPr="0091280A" w:rsidRDefault="00BF02DD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F02DD" w14:paraId="5BB51ACE" w14:textId="06A2175A" w:rsidTr="0091280A">
        <w:tc>
          <w:tcPr>
            <w:tcW w:w="6374" w:type="dxa"/>
            <w:shd w:val="clear" w:color="auto" w:fill="FFFFFF" w:themeFill="accent6" w:themeFillTint="33"/>
          </w:tcPr>
          <w:p w14:paraId="0C42A4C2" w14:textId="7BCA9A0A" w:rsidR="00BF02DD" w:rsidRPr="00BF02DD" w:rsidRDefault="00BF02DD" w:rsidP="009128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theme="minorHAnsi"/>
                <w:b/>
                <w:bCs/>
              </w:rPr>
            </w:pPr>
            <w:r w:rsidRPr="00BF02DD">
              <w:rPr>
                <w:rFonts w:eastAsia="Times New Roman" w:cstheme="minorHAnsi"/>
                <w:b/>
                <w:bCs/>
              </w:rPr>
              <w:t xml:space="preserve">Are staff aware that </w:t>
            </w:r>
            <w:r w:rsidR="000051B7">
              <w:rPr>
                <w:rFonts w:eastAsia="Times New Roman" w:cstheme="minorHAnsi"/>
                <w:b/>
                <w:bCs/>
              </w:rPr>
              <w:t>A</w:t>
            </w:r>
            <w:r w:rsidRPr="00BF02DD">
              <w:rPr>
                <w:rFonts w:eastAsia="Times New Roman" w:cstheme="minorHAnsi"/>
                <w:b/>
                <w:bCs/>
              </w:rPr>
              <w:t xml:space="preserve">rmed </w:t>
            </w:r>
            <w:r w:rsidR="000051B7">
              <w:rPr>
                <w:rFonts w:eastAsia="Times New Roman" w:cstheme="minorHAnsi"/>
                <w:b/>
                <w:bCs/>
              </w:rPr>
              <w:t>F</w:t>
            </w:r>
            <w:r w:rsidRPr="00BF02DD">
              <w:rPr>
                <w:rFonts w:eastAsia="Times New Roman" w:cstheme="minorHAnsi"/>
                <w:b/>
                <w:bCs/>
              </w:rPr>
              <w:t xml:space="preserve">orces personnel </w:t>
            </w:r>
            <w:r w:rsidR="00106858">
              <w:rPr>
                <w:rFonts w:eastAsia="Times New Roman" w:cstheme="minorHAnsi"/>
                <w:b/>
                <w:bCs/>
              </w:rPr>
              <w:t>can establish a local connection by virtue of having served in an area while in the Forces?</w:t>
            </w:r>
          </w:p>
          <w:p w14:paraId="73B757ED" w14:textId="77777777" w:rsidR="00BF02DD" w:rsidRPr="004301CA" w:rsidRDefault="00BF02DD" w:rsidP="009128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</w:rPr>
            </w:pPr>
            <w:r w:rsidRPr="00BF02DD">
              <w:rPr>
                <w:rFonts w:eastAsia="Times New Roman" w:cstheme="minorHAnsi"/>
                <w:b/>
                <w:bCs/>
              </w:rPr>
              <w:t>Is this referenced in any local policies/procedures?</w:t>
            </w:r>
            <w:r w:rsidRPr="00BF02DD">
              <w:rPr>
                <w:rFonts w:asciiTheme="majorHAnsi" w:eastAsia="Times New Roman" w:hAnsiTheme="majorHAnsi" w:cs="Times New Roman"/>
              </w:rPr>
              <w:t xml:space="preserve">  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136686C1" w14:textId="2445AB32" w:rsidR="00BF02DD" w:rsidRPr="0091280A" w:rsidRDefault="00BF02DD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F02DD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8.2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F02DD" w14:paraId="1C84ADA0" w14:textId="5F4C5049" w:rsidTr="0091280A">
        <w:tc>
          <w:tcPr>
            <w:tcW w:w="6374" w:type="dxa"/>
          </w:tcPr>
          <w:p w14:paraId="32059DD4" w14:textId="77777777" w:rsidR="00BF02DD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DB0E6E0" w14:textId="77777777" w:rsidR="00BF02DD" w:rsidRPr="0091280A" w:rsidRDefault="00BF02DD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EF64B7" w:rsidRPr="00EF64B7" w14:paraId="620538F4" w14:textId="77777777" w:rsidTr="00EF64B7">
        <w:tblPrEx>
          <w:shd w:val="clear" w:color="auto" w:fill="FFFFFF" w:themeFill="accent6" w:themeFillTint="99"/>
        </w:tblPrEx>
        <w:tc>
          <w:tcPr>
            <w:tcW w:w="8290" w:type="dxa"/>
            <w:gridSpan w:val="2"/>
            <w:shd w:val="clear" w:color="auto" w:fill="EC671B"/>
            <w:vAlign w:val="center"/>
          </w:tcPr>
          <w:p w14:paraId="1B889693" w14:textId="4242045D" w:rsidR="00B86365" w:rsidRPr="00EF64B7" w:rsidRDefault="00B86365" w:rsidP="0091280A">
            <w:pPr>
              <w:jc w:val="center"/>
              <w:rPr>
                <w:rFonts w:ascii="Poppins" w:eastAsia="Times New Roman" w:hAnsi="Poppins" w:cs="Poppins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F64B7"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  <w:t>Allocations &amp; Lettings</w:t>
            </w:r>
          </w:p>
        </w:tc>
      </w:tr>
      <w:tr w:rsidR="00BF02DD" w:rsidRPr="00256BA4" w14:paraId="60D7EFFE" w14:textId="02E3D24A" w:rsidTr="0091280A">
        <w:tc>
          <w:tcPr>
            <w:tcW w:w="6374" w:type="dxa"/>
            <w:shd w:val="clear" w:color="auto" w:fill="FFFFFF" w:themeFill="accent6" w:themeFillTint="33"/>
          </w:tcPr>
          <w:p w14:paraId="6A11BC6C" w14:textId="62BFC3EF" w:rsidR="00BF02DD" w:rsidRPr="00BF02DD" w:rsidRDefault="00BF02DD" w:rsidP="0091280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Times New Roman" w:cstheme="minorHAnsi"/>
                <w:b/>
                <w:bCs/>
              </w:rPr>
            </w:pPr>
            <w:r w:rsidRPr="00BF02DD">
              <w:rPr>
                <w:rFonts w:eastAsia="Times New Roman" w:cstheme="minorHAnsi"/>
                <w:b/>
                <w:bCs/>
              </w:rPr>
              <w:t xml:space="preserve">Allocation Policy – is it legally compliant in relation to </w:t>
            </w:r>
            <w:r w:rsidR="002120E2">
              <w:rPr>
                <w:rFonts w:eastAsia="Times New Roman" w:cstheme="minorHAnsi"/>
                <w:b/>
                <w:bCs/>
              </w:rPr>
              <w:t>v</w:t>
            </w:r>
            <w:r w:rsidRPr="00BF02DD">
              <w:rPr>
                <w:rFonts w:eastAsia="Times New Roman" w:cstheme="minorHAnsi"/>
                <w:b/>
                <w:bCs/>
              </w:rPr>
              <w:t>eterans?</w:t>
            </w:r>
          </w:p>
          <w:p w14:paraId="45767059" w14:textId="2EBDE9F6" w:rsidR="00BF02DD" w:rsidRPr="00BF02DD" w:rsidRDefault="00BF02DD" w:rsidP="0091280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Times New Roman" w:cstheme="minorHAnsi"/>
                <w:b/>
                <w:bCs/>
              </w:rPr>
            </w:pPr>
            <w:r w:rsidRPr="00BF02DD">
              <w:rPr>
                <w:rFonts w:eastAsia="Times New Roman" w:cstheme="minorHAnsi"/>
                <w:b/>
                <w:bCs/>
              </w:rPr>
              <w:t xml:space="preserve">Does it give </w:t>
            </w:r>
            <w:r w:rsidR="00106858">
              <w:rPr>
                <w:rFonts w:eastAsia="Times New Roman" w:cstheme="minorHAnsi"/>
                <w:b/>
                <w:bCs/>
              </w:rPr>
              <w:t>additional</w:t>
            </w:r>
            <w:r w:rsidRPr="00BF02DD">
              <w:rPr>
                <w:rFonts w:eastAsia="Times New Roman" w:cstheme="minorHAnsi"/>
                <w:b/>
                <w:bCs/>
              </w:rPr>
              <w:t xml:space="preserve"> preference to </w:t>
            </w:r>
            <w:r w:rsidR="002120E2">
              <w:rPr>
                <w:rFonts w:eastAsia="Times New Roman" w:cstheme="minorHAnsi"/>
                <w:b/>
                <w:bCs/>
              </w:rPr>
              <w:t>v</w:t>
            </w:r>
            <w:r w:rsidRPr="00BF02DD">
              <w:rPr>
                <w:rFonts w:eastAsia="Times New Roman" w:cstheme="minorHAnsi"/>
                <w:b/>
                <w:bCs/>
              </w:rPr>
              <w:t>eterans/reservists/widows?</w:t>
            </w:r>
          </w:p>
          <w:p w14:paraId="6BC0DC7F" w14:textId="20B3EE05" w:rsidR="00BF02DD" w:rsidRPr="00BF02DD" w:rsidRDefault="007519AE" w:rsidP="0091280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Does the policy reflect that serving members of the Armed Forces can establish a local connection to an area by virtue of having served in the area while in the Forces?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790714CE" w14:textId="70EA5C04" w:rsidR="00BF02DD" w:rsidRPr="0091280A" w:rsidRDefault="00BF02DD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F02DD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F02DD" w14:paraId="6650BC57" w14:textId="1FB61E53" w:rsidTr="0091280A">
        <w:tc>
          <w:tcPr>
            <w:tcW w:w="6374" w:type="dxa"/>
          </w:tcPr>
          <w:p w14:paraId="52BF8265" w14:textId="77777777" w:rsidR="00BF02DD" w:rsidRDefault="00BF02DD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752D4F86" w14:textId="77777777" w:rsidR="00BF02DD" w:rsidRDefault="00BF02DD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28B60788" w14:textId="77777777" w:rsidR="00BF02DD" w:rsidRPr="0091280A" w:rsidRDefault="00BF02DD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F02DD" w:rsidRPr="005028FD" w14:paraId="04188408" w14:textId="6A4BBAC7" w:rsidTr="0091280A">
        <w:tc>
          <w:tcPr>
            <w:tcW w:w="6374" w:type="dxa"/>
            <w:shd w:val="clear" w:color="auto" w:fill="FFFFFF" w:themeFill="accent6" w:themeFillTint="33"/>
          </w:tcPr>
          <w:p w14:paraId="42564EC4" w14:textId="1CC1D399" w:rsidR="00BF02DD" w:rsidRPr="00BF02DD" w:rsidRDefault="00BF02DD" w:rsidP="00BF02DD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BF02DD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Does the Housing Register form ask key questions to identify </w:t>
            </w:r>
            <w:r w:rsidR="002120E2"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BF02DD">
              <w:rPr>
                <w:rFonts w:eastAsia="Times New Roman" w:cstheme="minorHAnsi"/>
                <w:b/>
                <w:bCs/>
                <w:sz w:val="22"/>
                <w:szCs w:val="22"/>
              </w:rPr>
              <w:t>eterans/reservists/widows?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76496458" w14:textId="7ECA4A42" w:rsidR="00BF02DD" w:rsidRPr="0091280A" w:rsidRDefault="00BF02DD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F02DD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F02DD" w14:paraId="22E60AF2" w14:textId="789B6E10" w:rsidTr="0091280A">
        <w:tc>
          <w:tcPr>
            <w:tcW w:w="6374" w:type="dxa"/>
          </w:tcPr>
          <w:p w14:paraId="3B8DDDAE" w14:textId="77777777" w:rsidR="00BF02DD" w:rsidRDefault="00BF02DD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7A72D86F" w14:textId="77777777" w:rsidR="00BF02DD" w:rsidRDefault="00BF02DD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7DDA63CE" w14:textId="77777777" w:rsidR="00BF02DD" w:rsidRPr="0091280A" w:rsidRDefault="00BF02DD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F02DD" w:rsidRPr="005028FD" w14:paraId="249CF6B9" w14:textId="3E466A8D" w:rsidTr="0091280A">
        <w:trPr>
          <w:trHeight w:val="497"/>
        </w:trPr>
        <w:tc>
          <w:tcPr>
            <w:tcW w:w="6374" w:type="dxa"/>
            <w:shd w:val="clear" w:color="auto" w:fill="FFFFFF" w:themeFill="accent6" w:themeFillTint="33"/>
          </w:tcPr>
          <w:p w14:paraId="3014AF7C" w14:textId="77777777" w:rsidR="00BF02DD" w:rsidRPr="00BF02DD" w:rsidRDefault="00BF02DD" w:rsidP="00BF02DD">
            <w:pPr>
              <w:rPr>
                <w:rFonts w:eastAsia="Times New Roman" w:cstheme="minorHAnsi"/>
                <w:b/>
                <w:bCs/>
              </w:rPr>
            </w:pPr>
            <w:r w:rsidRPr="00BF02DD">
              <w:rPr>
                <w:rFonts w:eastAsia="Times New Roman" w:cstheme="minorHAnsi"/>
                <w:b/>
                <w:bCs/>
                <w:sz w:val="22"/>
                <w:szCs w:val="22"/>
              </w:rPr>
              <w:t>Are there any nomination arrangements in place to allocate properties to veterans?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E726EFA" w14:textId="07F491CE" w:rsidR="00BF02DD" w:rsidRPr="0091280A" w:rsidRDefault="00BF02DD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F02DD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9.4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F02DD" w14:paraId="77F99549" w14:textId="77777777" w:rsidTr="0091280A">
        <w:tc>
          <w:tcPr>
            <w:tcW w:w="6374" w:type="dxa"/>
            <w:shd w:val="clear" w:color="auto" w:fill="auto"/>
          </w:tcPr>
          <w:p w14:paraId="6E7353FB" w14:textId="77777777" w:rsidR="00BF02DD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2722E70D" w14:textId="4F5441F6" w:rsidR="00BF02DD" w:rsidRPr="002C0AD9" w:rsidRDefault="00BF02DD" w:rsidP="00BF02DD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0106ABCD" w14:textId="77777777" w:rsidR="00BF02DD" w:rsidRPr="0091280A" w:rsidRDefault="00BF02DD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7F4CAA" w14:paraId="02E6502C" w14:textId="77777777" w:rsidTr="0091280A">
        <w:tc>
          <w:tcPr>
            <w:tcW w:w="6374" w:type="dxa"/>
            <w:shd w:val="clear" w:color="auto" w:fill="FFFFFF" w:themeFill="accent6" w:themeFillTint="33"/>
          </w:tcPr>
          <w:p w14:paraId="209A2D1F" w14:textId="234AB5CE" w:rsidR="007F4CAA" w:rsidRPr="007F4CAA" w:rsidRDefault="007F4CAA" w:rsidP="00BF02DD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</w:rPr>
              <w:t>Do you allocate a set percentage of social housing vacancies to veterans?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5C1B269" w14:textId="7E9FA685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9.4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57DE773F" w14:textId="771838CB" w:rsidTr="0091280A">
        <w:tc>
          <w:tcPr>
            <w:tcW w:w="6374" w:type="dxa"/>
          </w:tcPr>
          <w:p w14:paraId="34B1E668" w14:textId="77777777" w:rsidR="007F4CAA" w:rsidRDefault="007F4CAA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4A87D40B" w14:textId="77777777" w:rsidR="007F4CAA" w:rsidRDefault="007F4CAA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7747CAFD" w14:textId="77777777" w:rsidR="007F4CAA" w:rsidRPr="0091280A" w:rsidRDefault="007F4CAA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7F4CAA" w:rsidRPr="005028FD" w14:paraId="47539044" w14:textId="184346DF" w:rsidTr="0091280A">
        <w:tc>
          <w:tcPr>
            <w:tcW w:w="6374" w:type="dxa"/>
            <w:shd w:val="clear" w:color="auto" w:fill="FFFFFF" w:themeFill="accent6" w:themeFillTint="33"/>
          </w:tcPr>
          <w:p w14:paraId="0C919025" w14:textId="2436A8C7" w:rsidR="007F4CAA" w:rsidRPr="007F4CAA" w:rsidRDefault="007F4CAA" w:rsidP="00BF02DD">
            <w:pPr>
              <w:rPr>
                <w:rFonts w:eastAsia="Times New Roman" w:cstheme="minorHAnsi"/>
                <w:b/>
                <w:bCs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</w:rPr>
              <w:t>Do the waiting lists for affordable/low-cost home ownership afford any additional priority to veterans and their families?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68028F55" w14:textId="6DADC94F" w:rsidR="007F4CAA" w:rsidRPr="0091280A" w:rsidRDefault="007F4CAA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9.5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16DD0524" w14:textId="4541A42B" w:rsidTr="0091280A">
        <w:tc>
          <w:tcPr>
            <w:tcW w:w="6374" w:type="dxa"/>
          </w:tcPr>
          <w:p w14:paraId="6BD25CB6" w14:textId="77777777" w:rsidR="007F4CAA" w:rsidRDefault="007F4CAA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4C3E8E11" w14:textId="77777777" w:rsidR="007F4CAA" w:rsidRDefault="007F4CAA" w:rsidP="0091280A">
            <w:pPr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243DBDE" w14:textId="77777777" w:rsidR="007F4CAA" w:rsidRPr="0091280A" w:rsidRDefault="007F4CAA" w:rsidP="0091280A">
            <w:pPr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052575AF" w14:textId="77777777" w:rsidR="007F4CAA" w:rsidRDefault="007F4CAA">
      <w:r>
        <w:br w:type="page"/>
      </w:r>
    </w:p>
    <w:tbl>
      <w:tblPr>
        <w:tblStyle w:val="TableGrid"/>
        <w:tblW w:w="0" w:type="auto"/>
        <w:shd w:val="clear" w:color="auto" w:fill="FFFFFF" w:themeFill="accent6" w:themeFillTint="99"/>
        <w:tblLook w:val="04A0" w:firstRow="1" w:lastRow="0" w:firstColumn="1" w:lastColumn="0" w:noHBand="0" w:noVBand="1"/>
      </w:tblPr>
      <w:tblGrid>
        <w:gridCol w:w="6374"/>
        <w:gridCol w:w="1916"/>
      </w:tblGrid>
      <w:tr w:rsidR="00EF64B7" w:rsidRPr="00EF64B7" w14:paraId="2DE75E1E" w14:textId="77777777" w:rsidTr="00EF64B7">
        <w:tc>
          <w:tcPr>
            <w:tcW w:w="8290" w:type="dxa"/>
            <w:gridSpan w:val="2"/>
            <w:shd w:val="clear" w:color="auto" w:fill="EC671B"/>
            <w:vAlign w:val="center"/>
          </w:tcPr>
          <w:p w14:paraId="66002063" w14:textId="233D63AC" w:rsidR="00BE4038" w:rsidRPr="00EF64B7" w:rsidRDefault="00BE4038" w:rsidP="007F4CAA">
            <w:pPr>
              <w:spacing w:before="100" w:beforeAutospacing="1"/>
              <w:jc w:val="center"/>
              <w:rPr>
                <w:rFonts w:ascii="Poppins" w:eastAsia="Times New Roman" w:hAnsi="Poppins" w:cs="Poppins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F64B7"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  <w:t>Housing Management</w:t>
            </w:r>
          </w:p>
        </w:tc>
      </w:tr>
      <w:tr w:rsidR="007F4CAA" w14:paraId="0BB33904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5ED19B26" w14:textId="08AB5641" w:rsidR="007F4CAA" w:rsidRPr="007F4CAA" w:rsidRDefault="007F4CAA" w:rsidP="00BF02DD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you identify if any new tenant or a member of their household is a </w:t>
            </w:r>
            <w:r w:rsidR="002120E2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7F4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 at sign up?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A39EFDA" w14:textId="14EB0920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 &amp; 9.7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5F1227D4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2FAD81C8" w14:textId="77777777" w:rsidR="007F4CAA" w:rsidRDefault="007F4CAA" w:rsidP="007F4CA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537647E8" w14:textId="22B25D2E" w:rsidR="007F4CAA" w:rsidRPr="002C0AD9" w:rsidRDefault="007F4CAA" w:rsidP="007F4CA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7BB16239" w14:textId="77777777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7F4CAA" w14:paraId="33BFBFC9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2E7BFAC0" w14:textId="3018A13B" w:rsidR="007F4CAA" w:rsidRPr="007F4CAA" w:rsidRDefault="007F4CAA" w:rsidP="00BF02DD">
            <w:pPr>
              <w:spacing w:before="100" w:beforeAutospacing="1"/>
              <w:rPr>
                <w:rFonts w:eastAsia="Times New Roman" w:cstheme="minorHAnsi"/>
                <w:b/>
                <w:bCs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Does any of your pre-tenancy work address the specific needs of </w:t>
            </w:r>
            <w:r w:rsidR="002120E2"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7F4CAA">
              <w:rPr>
                <w:rFonts w:eastAsia="Times New Roman" w:cstheme="minorHAnsi"/>
                <w:b/>
                <w:bCs/>
                <w:sz w:val="22"/>
                <w:szCs w:val="22"/>
              </w:rPr>
              <w:t>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654F7170" w14:textId="5C60C758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9.7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7E294FAE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3A6FC833" w14:textId="77777777" w:rsidR="007F4CAA" w:rsidRDefault="007F4CAA" w:rsidP="007F4CA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66021D3C" w14:textId="6D6016C7" w:rsidR="007F4CAA" w:rsidRPr="002C0AD9" w:rsidRDefault="007F4CAA" w:rsidP="007F4CA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7A287BFB" w14:textId="77777777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7F4CAA" w14:paraId="077B081E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29A92438" w14:textId="662AAC84" w:rsidR="007F4CAA" w:rsidRPr="007F4CAA" w:rsidRDefault="007F4CAA" w:rsidP="00BF02DD">
            <w:pPr>
              <w:spacing w:before="100" w:beforeAutospacing="1"/>
              <w:rPr>
                <w:rFonts w:eastAsia="Times New Roman" w:cstheme="minorHAnsi"/>
                <w:b/>
                <w:bCs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 your development plans take the specific needs of </w:t>
            </w:r>
            <w:r w:rsidR="002120E2"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7F4CAA">
              <w:rPr>
                <w:rFonts w:eastAsia="Times New Roman" w:cstheme="minorHAnsi"/>
                <w:b/>
                <w:bCs/>
                <w:sz w:val="22"/>
                <w:szCs w:val="22"/>
              </w:rPr>
              <w:t>eterans into account? (e.g., building/spaces that do not reinforce trauma, accessible properties, etc.)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8DF3EDA" w14:textId="1B7FDE90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9.6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67E996FC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70860100" w14:textId="77777777" w:rsidR="007F4CAA" w:rsidRDefault="007F4CAA" w:rsidP="0091280A">
            <w:pPr>
              <w:spacing w:before="100" w:beforeAutospacing="1"/>
              <w:ind w:left="720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1FFE42DF" w14:textId="5FE14A78" w:rsidR="007F4CAA" w:rsidRPr="002C0AD9" w:rsidRDefault="007F4CAA" w:rsidP="0091280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785820A7" w14:textId="77777777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EF64B7" w:rsidRPr="00EF64B7" w14:paraId="5663AB7B" w14:textId="77777777" w:rsidTr="00EF64B7">
        <w:tc>
          <w:tcPr>
            <w:tcW w:w="8290" w:type="dxa"/>
            <w:gridSpan w:val="2"/>
            <w:shd w:val="clear" w:color="auto" w:fill="EC671B"/>
            <w:vAlign w:val="center"/>
          </w:tcPr>
          <w:p w14:paraId="4795BC40" w14:textId="352F081F" w:rsidR="00B86365" w:rsidRPr="00EF64B7" w:rsidRDefault="00B86365" w:rsidP="007F4CAA">
            <w:pPr>
              <w:spacing w:before="100" w:beforeAutospacing="1"/>
              <w:jc w:val="center"/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</w:pPr>
            <w:r w:rsidRPr="00EF64B7"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  <w:t>Staff Knowledge &amp; Awareness</w:t>
            </w:r>
          </w:p>
        </w:tc>
      </w:tr>
      <w:tr w:rsidR="007F4CAA" w14:paraId="09903BC4" w14:textId="7DDBDDD9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1943CAA1" w14:textId="77777777" w:rsidR="007F4CAA" w:rsidRPr="007F4CAA" w:rsidRDefault="007F4CAA" w:rsidP="0091280A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staff know how to identify veterans? </w:t>
            </w:r>
          </w:p>
          <w:p w14:paraId="58C14566" w14:textId="0E29394B" w:rsidR="007F4CAA" w:rsidRPr="005B65E1" w:rsidRDefault="007F4CAA" w:rsidP="0091280A">
            <w:pPr>
              <w:numPr>
                <w:ilvl w:val="0"/>
                <w:numId w:val="2"/>
              </w:num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  <w:r w:rsidRPr="007F4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How knowledgeable are staff about veterans? (In terms of who qualifies as a </w:t>
            </w:r>
            <w:r w:rsidR="006F15F6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7F4CA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eteran, what the Housing Law says?  What support agencies/charities are available? Support needs of veterans?)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76DACDBB" w14:textId="07C88236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3, 8 and 9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130DE525" w14:textId="43138189" w:rsidTr="0091280A">
        <w:tblPrEx>
          <w:shd w:val="clear" w:color="auto" w:fill="auto"/>
        </w:tblPrEx>
        <w:tc>
          <w:tcPr>
            <w:tcW w:w="6374" w:type="dxa"/>
          </w:tcPr>
          <w:p w14:paraId="285F2FF5" w14:textId="77777777" w:rsidR="007F4CAA" w:rsidRDefault="007F4CAA" w:rsidP="0091280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0A950C84" w14:textId="3237F92E" w:rsidR="007F4CAA" w:rsidRDefault="007F4CAA" w:rsidP="0091280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5E5D2F52" w14:textId="77777777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7F4CAA" w:rsidRPr="00AA74DA" w14:paraId="39269A3C" w14:textId="37ED52BA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171C70F8" w14:textId="594D5888" w:rsidR="007F4CAA" w:rsidRPr="007F4CAA" w:rsidRDefault="007F4CAA" w:rsidP="00BF02DD">
            <w:pPr>
              <w:spacing w:before="100" w:beforeAutospacing="1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7F4CA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Do staff know about the Veterans</w:t>
            </w:r>
            <w:r w:rsidR="006F15F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’</w:t>
            </w:r>
            <w:r w:rsidRPr="007F4CA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Gateway?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68B7FAA" w14:textId="0761797A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7F4CAA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6.2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7F4CAA" w14:paraId="5731CE54" w14:textId="50AD6B48" w:rsidTr="0091280A">
        <w:tblPrEx>
          <w:shd w:val="clear" w:color="auto" w:fill="auto"/>
        </w:tblPrEx>
        <w:tc>
          <w:tcPr>
            <w:tcW w:w="6374" w:type="dxa"/>
          </w:tcPr>
          <w:p w14:paraId="72086607" w14:textId="77777777" w:rsidR="007F4CAA" w:rsidRDefault="007F4CAA" w:rsidP="0091280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473F01B8" w14:textId="77777777" w:rsidR="007F4CAA" w:rsidRDefault="007F4CAA" w:rsidP="0091280A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27F990C9" w14:textId="77777777" w:rsidR="007F4CAA" w:rsidRPr="0091280A" w:rsidRDefault="007F4CAA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25666F" w14:paraId="2770BF80" w14:textId="2C342A84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2CC5483B" w14:textId="6D3BDC06" w:rsidR="0025666F" w:rsidRPr="0025666F" w:rsidRDefault="0025666F" w:rsidP="00BF02DD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25666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Have any staff had any specific veteran training/briefings (e.g., the Armed Forces Covenant Training)?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684FC5F8" w14:textId="17FFD3A1" w:rsidR="0025666F" w:rsidRPr="0091280A" w:rsidRDefault="0025666F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25666F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25666F" w14:paraId="2E7F73EA" w14:textId="576AA7E3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2B6F5097" w14:textId="77777777" w:rsidR="0025666F" w:rsidRDefault="0025666F" w:rsidP="0025666F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33466437" w14:textId="77777777" w:rsidR="0025666F" w:rsidRDefault="0025666F" w:rsidP="0025666F">
            <w:pPr>
              <w:spacing w:before="100" w:before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31B7A5C7" w14:textId="77777777" w:rsidR="0025666F" w:rsidRPr="0091280A" w:rsidRDefault="0025666F" w:rsidP="0091280A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25666F" w14:paraId="7BDCEAF2" w14:textId="6D5F95DD" w:rsidTr="0091280A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</w:tcPr>
          <w:p w14:paraId="6A8E9AFE" w14:textId="30804F98" w:rsidR="0025666F" w:rsidRPr="0025666F" w:rsidRDefault="0025666F" w:rsidP="00BF02DD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25666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Is there a Housing Options officer who specialises/leads on working with veterans?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07051F92" w14:textId="12CA446E" w:rsidR="0025666F" w:rsidRPr="0091280A" w:rsidRDefault="0025666F" w:rsidP="0091280A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25666F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91280A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25666F" w14:paraId="06BA4070" w14:textId="6A98E73F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652E3C99" w14:textId="77777777" w:rsidR="0025666F" w:rsidRDefault="0025666F" w:rsidP="0025666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22613851" w14:textId="77777777" w:rsidR="0025666F" w:rsidRDefault="0025666F" w:rsidP="0025666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6EC5978" w14:textId="77777777" w:rsidR="0025666F" w:rsidRPr="0091280A" w:rsidRDefault="0025666F" w:rsidP="0091280A">
            <w:pPr>
              <w:spacing w:before="100" w:beforeAutospacing="1" w:after="100" w:after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A25C02" w14:paraId="4A7C9DAD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04CCF2D8" w14:textId="4C8436CF" w:rsidR="00A25C02" w:rsidRDefault="00A25C02" w:rsidP="0025666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  <w:r w:rsidRPr="00427AD6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What does your organisation do as an employer to support members of the Armed Forces community and veterans?</w:t>
            </w:r>
          </w:p>
        </w:tc>
        <w:tc>
          <w:tcPr>
            <w:tcW w:w="1916" w:type="dxa"/>
            <w:vMerge w:val="restart"/>
            <w:vAlign w:val="center"/>
          </w:tcPr>
          <w:p w14:paraId="458CED69" w14:textId="3C07C400" w:rsidR="00A25C02" w:rsidRPr="0091280A" w:rsidRDefault="00A25C02" w:rsidP="002740E2">
            <w:pPr>
              <w:spacing w:before="100" w:beforeAutospacing="1" w:after="100" w:afterAutospacing="1"/>
              <w:ind w:left="171" w:hanging="142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062C46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</w:t>
            </w:r>
            <w:r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2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A25C02" w14:paraId="61C779C1" w14:textId="77777777" w:rsidTr="0091280A">
        <w:tblPrEx>
          <w:shd w:val="clear" w:color="auto" w:fill="auto"/>
        </w:tblPrEx>
        <w:tc>
          <w:tcPr>
            <w:tcW w:w="6374" w:type="dxa"/>
            <w:shd w:val="clear" w:color="auto" w:fill="auto"/>
          </w:tcPr>
          <w:p w14:paraId="0904801F" w14:textId="77777777" w:rsidR="00A25C02" w:rsidRDefault="00A25C02" w:rsidP="0025666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74C3942E" w14:textId="26A7A8D3" w:rsidR="00A25C02" w:rsidRDefault="00A25C02" w:rsidP="0025666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E18A03A" w14:textId="77777777" w:rsidR="00A25C02" w:rsidRPr="0091280A" w:rsidRDefault="00A25C02" w:rsidP="0091280A">
            <w:pPr>
              <w:spacing w:before="100" w:beforeAutospacing="1" w:after="100" w:after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5E1FA2AF" w14:textId="77777777" w:rsidR="000A46AA" w:rsidRDefault="000A46AA"/>
    <w:sectPr w:rsidR="000A46AA" w:rsidSect="006D1EF5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85FB" w14:textId="77777777" w:rsidR="003F0C82" w:rsidRDefault="003F0C82">
      <w:r>
        <w:separator/>
      </w:r>
    </w:p>
  </w:endnote>
  <w:endnote w:type="continuationSeparator" w:id="0">
    <w:p w14:paraId="3449872B" w14:textId="77777777" w:rsidR="003F0C82" w:rsidRDefault="003F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1088" w14:textId="77777777" w:rsidR="005028FD" w:rsidRDefault="00BE4038" w:rsidP="005B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192A01" w14:textId="77777777" w:rsidR="005028FD" w:rsidRDefault="00EF64B7" w:rsidP="005B65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4085" w14:textId="77777777" w:rsidR="005028FD" w:rsidRDefault="00BE4038" w:rsidP="005B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1C121F" w14:textId="77777777" w:rsidR="005028FD" w:rsidRDefault="00EF64B7" w:rsidP="005B65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176A" w14:textId="77777777" w:rsidR="003F0C82" w:rsidRDefault="003F0C82">
      <w:r>
        <w:separator/>
      </w:r>
    </w:p>
  </w:footnote>
  <w:footnote w:type="continuationSeparator" w:id="0">
    <w:p w14:paraId="4FB74BF1" w14:textId="77777777" w:rsidR="003F0C82" w:rsidRDefault="003F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B363" w14:textId="3A0CF0F6" w:rsidR="006D1EF5" w:rsidRDefault="006D1EF5">
    <w:pPr>
      <w:pStyle w:val="Header"/>
    </w:pPr>
  </w:p>
  <w:p w14:paraId="0C4BC42C" w14:textId="77777777" w:rsidR="006D1EF5" w:rsidRDefault="006D1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E5DE" w14:textId="130B39C0" w:rsidR="006D1EF5" w:rsidRDefault="006D1E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B33712" wp14:editId="433620A7">
          <wp:simplePos x="0" y="0"/>
          <wp:positionH relativeFrom="margin">
            <wp:posOffset>4591050</wp:posOffset>
          </wp:positionH>
          <wp:positionV relativeFrom="margin">
            <wp:posOffset>-878205</wp:posOffset>
          </wp:positionV>
          <wp:extent cx="1755140" cy="83947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448"/>
    <w:multiLevelType w:val="multilevel"/>
    <w:tmpl w:val="9CEEC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59FF"/>
    <w:multiLevelType w:val="hybridMultilevel"/>
    <w:tmpl w:val="C01A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E50"/>
    <w:multiLevelType w:val="hybridMultilevel"/>
    <w:tmpl w:val="4F98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6897"/>
    <w:multiLevelType w:val="hybridMultilevel"/>
    <w:tmpl w:val="E696C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B0E89"/>
    <w:multiLevelType w:val="hybridMultilevel"/>
    <w:tmpl w:val="F0E4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62D2"/>
    <w:multiLevelType w:val="hybridMultilevel"/>
    <w:tmpl w:val="A6A0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26D0"/>
    <w:multiLevelType w:val="hybridMultilevel"/>
    <w:tmpl w:val="6A3C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1A44"/>
    <w:multiLevelType w:val="hybridMultilevel"/>
    <w:tmpl w:val="802CB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BC5891"/>
    <w:multiLevelType w:val="hybridMultilevel"/>
    <w:tmpl w:val="28E4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6E1D"/>
    <w:multiLevelType w:val="multilevel"/>
    <w:tmpl w:val="3A5C6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99226559">
    <w:abstractNumId w:val="9"/>
  </w:num>
  <w:num w:numId="2" w16cid:durableId="1781219163">
    <w:abstractNumId w:val="0"/>
  </w:num>
  <w:num w:numId="3" w16cid:durableId="374353863">
    <w:abstractNumId w:val="4"/>
  </w:num>
  <w:num w:numId="4" w16cid:durableId="1421680556">
    <w:abstractNumId w:val="1"/>
  </w:num>
  <w:num w:numId="5" w16cid:durableId="282620716">
    <w:abstractNumId w:val="7"/>
  </w:num>
  <w:num w:numId="6" w16cid:durableId="271977186">
    <w:abstractNumId w:val="3"/>
  </w:num>
  <w:num w:numId="7" w16cid:durableId="1063257109">
    <w:abstractNumId w:val="2"/>
  </w:num>
  <w:num w:numId="8" w16cid:durableId="1036081593">
    <w:abstractNumId w:val="5"/>
  </w:num>
  <w:num w:numId="9" w16cid:durableId="1630743466">
    <w:abstractNumId w:val="8"/>
  </w:num>
  <w:num w:numId="10" w16cid:durableId="1280452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5"/>
    <w:rsid w:val="00002797"/>
    <w:rsid w:val="000051B7"/>
    <w:rsid w:val="00093CAA"/>
    <w:rsid w:val="000A46AA"/>
    <w:rsid w:val="00106858"/>
    <w:rsid w:val="00146FE5"/>
    <w:rsid w:val="00192442"/>
    <w:rsid w:val="001B48A1"/>
    <w:rsid w:val="002031DC"/>
    <w:rsid w:val="002120E2"/>
    <w:rsid w:val="0025666F"/>
    <w:rsid w:val="002740E2"/>
    <w:rsid w:val="002A1E5A"/>
    <w:rsid w:val="003501DE"/>
    <w:rsid w:val="003877E7"/>
    <w:rsid w:val="003C499C"/>
    <w:rsid w:val="003F0C82"/>
    <w:rsid w:val="004852A1"/>
    <w:rsid w:val="00490B34"/>
    <w:rsid w:val="004E5541"/>
    <w:rsid w:val="00665DE4"/>
    <w:rsid w:val="006D1EF5"/>
    <w:rsid w:val="006E06F6"/>
    <w:rsid w:val="006F15F6"/>
    <w:rsid w:val="007067D5"/>
    <w:rsid w:val="007464BF"/>
    <w:rsid w:val="007519AE"/>
    <w:rsid w:val="007C2CDD"/>
    <w:rsid w:val="007E1116"/>
    <w:rsid w:val="007F4CAA"/>
    <w:rsid w:val="008B09CA"/>
    <w:rsid w:val="0091280A"/>
    <w:rsid w:val="00A25C02"/>
    <w:rsid w:val="00B55EF5"/>
    <w:rsid w:val="00B7382A"/>
    <w:rsid w:val="00B76042"/>
    <w:rsid w:val="00B86365"/>
    <w:rsid w:val="00BE4038"/>
    <w:rsid w:val="00BE5A59"/>
    <w:rsid w:val="00BF02DD"/>
    <w:rsid w:val="00CC139B"/>
    <w:rsid w:val="00CC1FE7"/>
    <w:rsid w:val="00CD2843"/>
    <w:rsid w:val="00DF3F3A"/>
    <w:rsid w:val="00E75689"/>
    <w:rsid w:val="00EF64B7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3806"/>
  <w15:chartTrackingRefBased/>
  <w15:docId w15:val="{7CAFBEE2-A47F-784D-B916-940B833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6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36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36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65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86365"/>
  </w:style>
  <w:style w:type="paragraph" w:styleId="CommentText">
    <w:name w:val="annotation text"/>
    <w:basedOn w:val="Normal"/>
    <w:link w:val="CommentTextChar"/>
    <w:uiPriority w:val="99"/>
    <w:semiHidden/>
    <w:unhideWhenUsed/>
    <w:rsid w:val="00B86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65"/>
    <w:rPr>
      <w:rFonts w:eastAsiaTheme="minorEastAsi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E06F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1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EF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omeless Link">
      <a:dk1>
        <a:sysClr val="windowText" lastClr="000000"/>
      </a:dk1>
      <a:lt1>
        <a:sysClr val="window" lastClr="FFFFFF"/>
      </a:lt1>
      <a:dk2>
        <a:srgbClr val="660050"/>
      </a:dk2>
      <a:lt2>
        <a:srgbClr val="FFFFFF"/>
      </a:lt2>
      <a:accent1>
        <a:srgbClr val="660050"/>
      </a:accent1>
      <a:accent2>
        <a:srgbClr val="CC0099"/>
      </a:accent2>
      <a:accent3>
        <a:srgbClr val="FF99EC"/>
      </a:accent3>
      <a:accent4>
        <a:srgbClr val="BFBFBF"/>
      </a:accent4>
      <a:accent5>
        <a:srgbClr val="E6E6E6"/>
      </a:accent5>
      <a:accent6>
        <a:srgbClr val="FFFFFF"/>
      </a:accent6>
      <a:hlink>
        <a:srgbClr val="660050"/>
      </a:hlink>
      <a:folHlink>
        <a:srgbClr val="660050"/>
      </a:folHlink>
    </a:clrScheme>
    <a:fontScheme name="Homeless Link">
      <a:majorFont>
        <a:latin typeface="Poppins SemiBold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2fdba-d45f-4a16-9e4c-354314d7f52b" xsi:nil="true"/>
    <lcf76f155ced4ddcb4097134ff3c332f xmlns="dae4c362-64b6-498a-bdae-71740040bf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1F790095BA64986DCD2F739E5FA8E" ma:contentTypeVersion="15" ma:contentTypeDescription="Create a new document." ma:contentTypeScope="" ma:versionID="1d9dee12aaa94ad45ea3473edccac12d">
  <xsd:schema xmlns:xsd="http://www.w3.org/2001/XMLSchema" xmlns:xs="http://www.w3.org/2001/XMLSchema" xmlns:p="http://schemas.microsoft.com/office/2006/metadata/properties" xmlns:ns2="dae4c362-64b6-498a-bdae-71740040bf2e" xmlns:ns3="1872fdba-d45f-4a16-9e4c-354314d7f52b" targetNamespace="http://schemas.microsoft.com/office/2006/metadata/properties" ma:root="true" ma:fieldsID="a69ffce0357d12fa87100b856fa7dec7" ns2:_="" ns3:_="">
    <xsd:import namespace="dae4c362-64b6-498a-bdae-71740040bf2e"/>
    <xsd:import namespace="1872fdba-d45f-4a16-9e4c-354314d7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c362-64b6-498a-bdae-71740040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b1a883-4adb-4c46-8493-2b63720c4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fdba-d45f-4a16-9e4c-354314d7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5f950-47d9-4ea3-8ecd-7bf55e79d03b}" ma:internalName="TaxCatchAll" ma:showField="CatchAllData" ma:web="1872fdba-d45f-4a16-9e4c-354314d7f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BE28C-9A63-40A5-B9BE-90EC2855051F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2ff871bc-43b1-4327-86d7-df04a0885ec9"/>
    <ds:schemaRef ds:uri="6ed15095-d1d2-440b-9ae4-828b5059f478"/>
    <ds:schemaRef ds:uri="http://www.w3.org/XML/1998/namespace"/>
    <ds:schemaRef ds:uri="1872fdba-d45f-4a16-9e4c-354314d7f52b"/>
    <ds:schemaRef ds:uri="dae4c362-64b6-498a-bdae-71740040bf2e"/>
  </ds:schemaRefs>
</ds:datastoreItem>
</file>

<file path=customXml/itemProps2.xml><?xml version="1.0" encoding="utf-8"?>
<ds:datastoreItem xmlns:ds="http://schemas.openxmlformats.org/officeDocument/2006/customXml" ds:itemID="{C5AFEBF1-0D18-42E5-833A-58252276D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B0D3-78B1-4B80-8E0E-1F60995C4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c362-64b6-498a-bdae-71740040bf2e"/>
    <ds:schemaRef ds:uri="1872fdba-d45f-4a16-9e4c-354314d7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Paterson</dc:creator>
  <cp:keywords/>
  <dc:description/>
  <cp:lastModifiedBy>Louise Morriss</cp:lastModifiedBy>
  <cp:revision>4</cp:revision>
  <dcterms:created xsi:type="dcterms:W3CDTF">2022-07-13T12:27:00Z</dcterms:created>
  <dcterms:modified xsi:type="dcterms:W3CDTF">2023-01-23T12:51:00Z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0x01010048DE04CD9C88084E8C1702529D05EEEC</vt:lpwstr>
  </property>
</Properties>
</file>